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23" w:hanging="0"/>
        <w:jc w:val="center"/>
        <w:rPr>
          <w:b/>
          <w:b/>
          <w:color w:val="00000A"/>
          <w:sz w:val="24"/>
          <w:szCs w:val="24"/>
        </w:rPr>
      </w:pPr>
      <w:r>
        <w:rPr>
          <w:b/>
          <w:color w:val="00000A"/>
          <w:sz w:val="24"/>
          <w:szCs w:val="24"/>
        </w:rPr>
        <w:t>UZASADNIENIE</w:t>
      </w:r>
    </w:p>
    <w:p>
      <w:pPr>
        <w:pStyle w:val="Normal"/>
        <w:spacing w:lineRule="auto" w:line="240" w:before="0" w:after="0"/>
        <w:ind w:left="23" w:hanging="0"/>
        <w:jc w:val="center"/>
        <w:rPr>
          <w:b/>
          <w:b/>
          <w:color w:val="00000A"/>
          <w:sz w:val="24"/>
          <w:szCs w:val="24"/>
        </w:rPr>
      </w:pPr>
      <w:r>
        <w:rPr>
          <w:b/>
          <w:color w:val="00000A"/>
          <w:sz w:val="24"/>
          <w:szCs w:val="24"/>
        </w:rPr>
      </w:r>
    </w:p>
    <w:p>
      <w:pPr>
        <w:pStyle w:val="Normal"/>
        <w:spacing w:lineRule="auto" w:line="240" w:before="0" w:after="0"/>
        <w:ind w:left="23" w:hanging="0"/>
        <w:jc w:val="center"/>
        <w:rPr>
          <w:color w:val="00000A"/>
          <w:sz w:val="24"/>
          <w:szCs w:val="24"/>
        </w:rPr>
      </w:pPr>
      <w:r>
        <w:rPr>
          <w:color w:val="00000A"/>
          <w:sz w:val="24"/>
          <w:szCs w:val="24"/>
        </w:rPr>
      </w:r>
    </w:p>
    <w:p>
      <w:pPr>
        <w:pStyle w:val="Normal"/>
        <w:spacing w:lineRule="auto" w:line="276" w:before="0" w:after="40"/>
        <w:ind w:left="4" w:right="9" w:firstLine="720"/>
        <w:rPr>
          <w:color w:val="00000A"/>
          <w:sz w:val="24"/>
          <w:szCs w:val="24"/>
        </w:rPr>
      </w:pPr>
      <w:r>
        <w:rPr>
          <w:color w:val="00000A"/>
          <w:sz w:val="24"/>
          <w:szCs w:val="24"/>
        </w:rPr>
        <w:t>Minister właściwy do spraw wewnętrznych na podstawie art. 101 ust. 2, art. 102 i art. 104 ust. 6 ustawy z dnia 6 kwietnia 1990 r. o Policji (Dz. U. z 2021 r. poz. 1882 z późn. zm.) został upoważniony do określenia w drodze rozporządzenia szczegółowych zasad otrzymywania oraz wysokości uposażenia zasadniczego policjantów, warunków podwyższania tego uposażenia, sposobu ustalania jego wzrostu z tytułu wysługi lat, szczegółowych zasad ustalania wysługi lat, sposobu jej dokumentowania oraz trybu postępowania w tych sprawach, szczegółowych zasad otrzymywania oraz wysokości dodatków do uposażenia.</w:t>
      </w:r>
    </w:p>
    <w:p>
      <w:pPr>
        <w:pStyle w:val="Normal"/>
        <w:spacing w:lineRule="auto" w:line="276" w:before="0" w:after="40"/>
        <w:ind w:left="4" w:right="9" w:firstLine="720"/>
        <w:rPr>
          <w:color w:val="00000A"/>
          <w:sz w:val="24"/>
          <w:szCs w:val="24"/>
        </w:rPr>
      </w:pPr>
      <w:r>
        <w:rPr>
          <w:color w:val="00000A"/>
          <w:sz w:val="24"/>
          <w:szCs w:val="24"/>
        </w:rPr>
        <w:t>Minister właściwy do spraw wewnętrznych wykonując powyższe upoważnienia ustawowe wydał rozporządzenie z dnia 6 grudnia 2001 r.</w:t>
      </w:r>
      <w:r>
        <w:rPr>
          <w:bCs/>
          <w:i/>
          <w:color w:val="00000A"/>
          <w:sz w:val="24"/>
          <w:szCs w:val="24"/>
        </w:rPr>
        <w:t xml:space="preserve"> </w:t>
      </w:r>
      <w:r>
        <w:rPr>
          <w:bCs/>
          <w:color w:val="00000A"/>
          <w:sz w:val="24"/>
          <w:szCs w:val="24"/>
        </w:rPr>
        <w:t xml:space="preserve">w sprawie szczegółowych zasad otrzymywania </w:t>
        <w:br/>
        <w:t>i wysokości uposażenia zasadniczego policjantów, dodatków do uposażenia oraz ustalania wysługi lat, od której jest uzależniony wzrost uposażenia zasadniczego</w:t>
      </w:r>
      <w:r>
        <w:rPr>
          <w:bCs/>
          <w:i/>
          <w:color w:val="00000A"/>
          <w:sz w:val="24"/>
          <w:szCs w:val="24"/>
        </w:rPr>
        <w:t xml:space="preserve"> </w:t>
      </w:r>
      <w:r>
        <w:rPr>
          <w:bCs/>
          <w:color w:val="00000A"/>
          <w:sz w:val="24"/>
          <w:szCs w:val="24"/>
        </w:rPr>
        <w:t>(Dz. U.</w:t>
      </w:r>
      <w:r>
        <w:rPr>
          <w:color w:val="00000A"/>
          <w:sz w:val="24"/>
          <w:szCs w:val="24"/>
        </w:rPr>
        <w:t xml:space="preserve"> z 2015 r. poz. 1236, </w:t>
        <w:br/>
        <w:t>z późn. zm.), zwane dalej „rozporządzeniem”.</w:t>
      </w:r>
    </w:p>
    <w:p>
      <w:pPr>
        <w:pStyle w:val="Normal"/>
        <w:spacing w:lineRule="auto" w:line="276" w:before="0" w:after="0"/>
        <w:ind w:left="4" w:right="9" w:firstLine="720"/>
        <w:rPr>
          <w:b/>
          <w:b/>
          <w:bCs/>
          <w:color w:val="00000A"/>
          <w:sz w:val="24"/>
          <w:szCs w:val="24"/>
        </w:rPr>
      </w:pPr>
      <w:r>
        <w:rPr>
          <w:color w:val="00000A"/>
          <w:sz w:val="24"/>
          <w:szCs w:val="24"/>
        </w:rPr>
        <w:t>Celem nowelizacji rozporządzenia jest</w:t>
      </w:r>
      <w:r>
        <w:rPr>
          <w:bCs/>
          <w:color w:val="00000A"/>
          <w:sz w:val="24"/>
          <w:szCs w:val="24"/>
        </w:rPr>
        <w:t xml:space="preserve"> osiągnięcie oczekiwanego wzrostu uposażenia policjantów o 7,8% tj. o 491 zł (łącznie ze skutkami wzrostu kwoty bazowej) w zakresie wzrostu uposażenia wraz z dodatkami o charakterze stałym, poprzez </w:t>
      </w:r>
      <w:r>
        <w:rPr>
          <w:b/>
          <w:bCs/>
          <w:color w:val="00000A"/>
          <w:sz w:val="24"/>
          <w:szCs w:val="24"/>
        </w:rPr>
        <w:t>ustanowienie nowych stawek uposażenia zasadniczego wyrażonych w postaci mnożników kwoty bazowej.</w:t>
      </w:r>
    </w:p>
    <w:p>
      <w:pPr>
        <w:pStyle w:val="Normal"/>
        <w:spacing w:lineRule="auto" w:line="276" w:before="0" w:after="0"/>
        <w:ind w:left="4" w:right="9" w:firstLine="720"/>
        <w:rPr>
          <w:color w:val="00000A"/>
          <w:sz w:val="24"/>
          <w:szCs w:val="24"/>
        </w:rPr>
      </w:pPr>
      <w:r>
        <w:rPr>
          <w:color w:val="00000A"/>
          <w:sz w:val="24"/>
          <w:szCs w:val="24"/>
        </w:rPr>
        <w:t xml:space="preserve">Zmiana polega na nadaniu nowego brzmienia załącznika nr 1 do ww. rozporządzenia MSWiA dotyczącego tabeli grup zaszeregowania stanowisk służbowych policjantów oraz odpowiadających im stawek uposażenia zasadniczego wyrażonych w postaci mnożników kwoty bazowej. </w:t>
      </w:r>
    </w:p>
    <w:p>
      <w:pPr>
        <w:pStyle w:val="Normal"/>
        <w:spacing w:lineRule="auto" w:line="276" w:before="0" w:after="40"/>
        <w:ind w:left="4" w:right="9" w:firstLine="720"/>
        <w:rPr>
          <w:color w:val="00000A"/>
          <w:sz w:val="24"/>
          <w:szCs w:val="24"/>
        </w:rPr>
      </w:pPr>
      <w:r>
        <w:rPr>
          <w:color w:val="00000A"/>
          <w:sz w:val="24"/>
          <w:szCs w:val="24"/>
        </w:rPr>
        <w:t>Wzrost kwoty bazowej o 7,8% powoduje, że przeciętne miesięczne uposażenie policjanta wraz z nagrodą roczną wzrasta o 532 zł. Z kwoty 532 zł na wzrost uposażenia wraz z dodatkami przypada kwota 491 zł, a na wzrost nagrody rocznej - 41 zł. Przypadająca przeciętna miesięczna kwota wzrostu na 1 etat w wysokości 491 zł ma sfinansować wzrost wszystkich składników uposażenia. Przy czym należy zaznaczyć, że wzrost kwoty bazowej powoduje obligatoryjny wzrost uposażenia zasadniczego i w konsekwencji wzrost z tytułu wysługi lat, którego skala uzależniona będzie od indywidualnego stażu służby oraz wzrost dodatków do uposażenia, których wysokość relacjonowana jest do kwoty bazowej. Szacowane skutki wynikające wyłącznie ze zmiany kwoty bazowej szacowane są na poziomie 312 zł (samo uposażenie wraz z dodatkami o charakterze stałym). Oznacza to, że możliwe jest zaangażowanie jeszcze kwoty około 179 zł.</w:t>
      </w:r>
    </w:p>
    <w:p>
      <w:pPr>
        <w:pStyle w:val="Normal"/>
        <w:spacing w:lineRule="auto" w:line="276" w:before="0" w:after="40"/>
        <w:ind w:left="4" w:right="9" w:firstLine="720"/>
        <w:rPr>
          <w:color w:val="00000A"/>
          <w:sz w:val="24"/>
          <w:szCs w:val="24"/>
        </w:rPr>
      </w:pPr>
      <w:r>
        <w:rPr>
          <w:color w:val="00000A"/>
          <w:sz w:val="24"/>
          <w:szCs w:val="24"/>
        </w:rPr>
        <w:t xml:space="preserve">Zgodnie z proponowanym rozwiązaniem indywidualne mnożniki kwoty bazowej spowodują wzrost uposażenia zasadniczego oraz wpłyną na wzrost z tytułu wysługi lat, którego skala uzależniona będzie od indywidualnego stażu służby. Proponowane mnożniki w poszczególnych grupach zaszeregowania wskazano przy założeniu, że - wraz z uwzględnieniem wzrostu pozostałych składników - uposażenia w każdej grupie zaszeregowania wzrosną o około 7,8%. </w:t>
      </w:r>
    </w:p>
    <w:p>
      <w:pPr>
        <w:pStyle w:val="Normal"/>
        <w:spacing w:lineRule="auto" w:line="276" w:before="0" w:after="40"/>
        <w:ind w:left="4" w:right="9" w:firstLine="720"/>
        <w:rPr>
          <w:color w:val="FF0000"/>
          <w:sz w:val="24"/>
          <w:szCs w:val="24"/>
        </w:rPr>
      </w:pPr>
      <w:r>
        <w:rPr>
          <w:color w:val="FF0000"/>
          <w:sz w:val="24"/>
          <w:szCs w:val="24"/>
        </w:rPr>
      </w:r>
    </w:p>
    <w:p>
      <w:pPr>
        <w:pStyle w:val="Normal"/>
        <w:spacing w:lineRule="auto" w:line="276" w:before="0" w:after="40"/>
        <w:ind w:left="4" w:right="9" w:firstLine="720"/>
        <w:rPr>
          <w:color w:val="00000A"/>
          <w:sz w:val="24"/>
          <w:szCs w:val="24"/>
        </w:rPr>
      </w:pPr>
      <w:r>
        <w:rPr>
          <w:color w:val="00000A"/>
          <w:sz w:val="24"/>
          <w:szCs w:val="24"/>
        </w:rPr>
        <w:t>Zakłada się, że projektowane regulacje wejdą w życie z dniem 1 marca 2023 r.</w:t>
      </w:r>
    </w:p>
    <w:p>
      <w:pPr>
        <w:pStyle w:val="Normal"/>
        <w:spacing w:lineRule="auto" w:line="276" w:before="0" w:after="40"/>
        <w:ind w:left="4" w:right="9" w:firstLine="720"/>
        <w:rPr>
          <w:color w:val="00000A"/>
          <w:sz w:val="24"/>
          <w:szCs w:val="24"/>
        </w:rPr>
      </w:pPr>
      <w:bookmarkStart w:id="0" w:name="_GoBack"/>
      <w:bookmarkStart w:id="1" w:name="_GoBack"/>
      <w:bookmarkEnd w:id="1"/>
      <w:r>
        <w:rPr>
          <w:color w:val="00000A"/>
          <w:sz w:val="24"/>
          <w:szCs w:val="24"/>
        </w:rPr>
      </w:r>
    </w:p>
    <w:p>
      <w:pPr>
        <w:pStyle w:val="Normal"/>
        <w:spacing w:lineRule="auto" w:line="276" w:before="0" w:after="40"/>
        <w:ind w:left="4" w:right="9" w:firstLine="720"/>
        <w:rPr>
          <w:color w:val="00000A"/>
          <w:sz w:val="24"/>
          <w:szCs w:val="24"/>
        </w:rPr>
      </w:pPr>
      <w:r>
        <w:rPr>
          <w:color w:val="00000A"/>
          <w:sz w:val="24"/>
          <w:szCs w:val="24"/>
        </w:rPr>
        <w:t xml:space="preserve">Wprowadzenie proponowanych zmian pozwoli na osiągnięcie szacowanego przeciętnego uposażenia policjantów należnego na dzień 1 marca 2023 r. na poziomie 7.361 zł, tj. 6 795 zł bez równowartości nagrody rocznej. Będzie stanowiło to wypełnienie oczekiwań policjantów, wpłynie na poprawę warunków służby funkcjonariuszy Policji, wzmocni atrakcyjność pełnienia służby </w:t>
        <w:br/>
        <w:t>w Policji i zmniejszenie liczby wakatów w poszczególnych jednostkach organizacyjnych.</w:t>
      </w:r>
    </w:p>
    <w:p>
      <w:pPr>
        <w:pStyle w:val="Normal"/>
        <w:spacing w:lineRule="auto" w:line="276" w:before="0" w:after="40"/>
        <w:ind w:left="4" w:right="9" w:firstLine="720"/>
        <w:rPr>
          <w:color w:val="00000A"/>
          <w:sz w:val="24"/>
          <w:szCs w:val="24"/>
        </w:rPr>
      </w:pPr>
      <w:r>
        <w:rPr>
          <w:color w:val="00000A"/>
          <w:sz w:val="24"/>
          <w:szCs w:val="24"/>
        </w:rPr>
        <w:t>Jednocześnie, w ustawie z dnia 1 grudnia 2022 r. o szczególnych rozwiązaniach służących realizacji ustawy budżetowej na rok 2023 (Dz. U. poz. 2666), której regulacje mają charakter komplementarny do ustawy budżetowej na rok 2023, w art. 41 ust. 1 wprowadzono zapis, że kwotę bazową określoną w ustawie budżetowej na rok 2023 dla żołnierzy zawodowych, funkcjonariuszy oraz funkcjonariuszy Służby Celno-Skarbowej stosuje się do obliczenia ich uposażeń w okresie od dnia 1 marca 2023 r. do dnia 31 grudnia 2023 r. Ponadto, w ust. 2 zapisano, że do obliczenia uposażeń żołnierzy zawodowych, funkcjonariuszy oraz funkcjonariuszy Służby Celno-Skarbowej należnych od dnia 1 stycznia 2023 r. do dnia 28 lutego 2023 r. stosuje się kwoty bazowe ustalone w ustawie budżetowej na rok 2022 z dnia 17 grudnia 2021 r. (Dz. U. z 2022 r. poz. 270).</w:t>
      </w:r>
    </w:p>
    <w:p>
      <w:pPr>
        <w:pStyle w:val="Normal"/>
        <w:spacing w:lineRule="auto" w:line="276" w:before="0" w:after="40"/>
        <w:ind w:left="4" w:right="9" w:firstLine="720"/>
        <w:rPr>
          <w:color w:val="00000A"/>
          <w:sz w:val="24"/>
          <w:szCs w:val="24"/>
        </w:rPr>
      </w:pPr>
      <w:r>
        <w:rPr>
          <w:color w:val="00000A"/>
          <w:sz w:val="24"/>
          <w:szCs w:val="24"/>
        </w:rPr>
        <w:t>W ust. 3 tego artykułu uregulowano kwestię wysokości uposażenia od dnia 1 marca 2023 r. do dnia 31 grudnia 2023 r., które to w tym okresie gwarantuje comiesięczne zwiększenie o 1/5 kwoty różnicy pomiędzy uposażeniem należnym na dzień 1 marca 2023 r. (obliczanym na podstawie kwoty bazowej ustalonej w ustawie budżetowej na rok 2023), a uposażeniem należnym na dzień 1 stycznia 2023 r. (obliczonym zgodnie z ust. 2). Wprowadzenie przedłożonych zmian od dnia 1 marca 2023 r. wpłynie na wysokość uposażenia należnego na dzień 1 marca 2023 r., co jednocześnie przełoży się na wzrost naliczonego zwiększenia uposażenia o 1/5 różnicy.</w:t>
      </w:r>
    </w:p>
    <w:p>
      <w:pPr>
        <w:pStyle w:val="Normal"/>
        <w:spacing w:lineRule="auto" w:line="276" w:before="0" w:after="40"/>
        <w:ind w:left="4" w:right="9" w:firstLine="720"/>
        <w:rPr>
          <w:color w:val="00000A"/>
          <w:sz w:val="24"/>
          <w:szCs w:val="24"/>
        </w:rPr>
      </w:pPr>
      <w:r>
        <w:rPr>
          <w:color w:val="00000A"/>
          <w:sz w:val="24"/>
          <w:szCs w:val="24"/>
        </w:rPr>
      </w:r>
    </w:p>
    <w:p>
      <w:pPr>
        <w:pStyle w:val="Normal"/>
        <w:spacing w:lineRule="auto" w:line="276" w:before="0" w:after="40"/>
        <w:ind w:left="6" w:right="11" w:firstLine="720"/>
        <w:rPr>
          <w:color w:val="00000A"/>
          <w:sz w:val="24"/>
          <w:szCs w:val="24"/>
        </w:rPr>
      </w:pPr>
      <w:r>
        <w:rPr>
          <w:color w:val="00000A"/>
          <w:sz w:val="24"/>
          <w:szCs w:val="24"/>
        </w:rPr>
        <w:t>W ocenie projektodawcy przedmiotowe rozporządzenie nie jest objęte prawem Unii Europejskiej i nie podlega obowiązkowi przedstawienia właściwym organom i instytucjom Unii Europejskiej, w tym Europejskiemu Bankowi Centralnemu, w celu uzyskania opinii, dokonania powiadomienia, konsultacji albo uzgodnienia.</w:t>
      </w:r>
    </w:p>
    <w:p>
      <w:pPr>
        <w:pStyle w:val="Normal"/>
        <w:spacing w:lineRule="auto" w:line="276" w:before="0" w:after="40"/>
        <w:ind w:left="6" w:right="11" w:firstLine="720"/>
        <w:rPr>
          <w:color w:val="00000A"/>
          <w:sz w:val="24"/>
          <w:szCs w:val="24"/>
        </w:rPr>
      </w:pPr>
      <w:r>
        <w:rPr>
          <w:color w:val="00000A"/>
          <w:sz w:val="24"/>
          <w:szCs w:val="24"/>
        </w:rPr>
        <w:t xml:space="preserve">Projektowane rozporządzenie nie zawiera przepisów technicznych w rozumieniu przepisów rozporządzenia Rady Ministrów z dnia 23 grudnia 2002 r. w sprawie sposobu funkcjonowania krajowego systemu notyfikacji norm i aktów prawnych (Dz. U. poz. 2039, z późn. zm.) i w związku z tym nie podlega procedurze notyfikacji. </w:t>
      </w:r>
    </w:p>
    <w:p>
      <w:pPr>
        <w:pStyle w:val="Normal"/>
        <w:spacing w:lineRule="auto" w:line="276" w:before="0" w:after="40"/>
        <w:ind w:left="6" w:right="11" w:firstLine="720"/>
        <w:rPr>
          <w:color w:val="00000A"/>
          <w:sz w:val="24"/>
          <w:szCs w:val="24"/>
        </w:rPr>
      </w:pPr>
      <w:r>
        <w:rPr>
          <w:color w:val="00000A"/>
          <w:sz w:val="24"/>
          <w:szCs w:val="24"/>
        </w:rPr>
        <w:t xml:space="preserve">Brak jest możliwości podjęcia alternatywnych, w stosunku do projektowanego rozporządzenia, działań umożliwiających osiągnięcie zamierzonego celu. </w:t>
      </w:r>
    </w:p>
    <w:p>
      <w:pPr>
        <w:pStyle w:val="Normal"/>
        <w:spacing w:lineRule="auto" w:line="276" w:before="0" w:after="40"/>
        <w:ind w:left="6" w:right="11" w:firstLine="720"/>
        <w:rPr>
          <w:color w:val="00000A"/>
          <w:sz w:val="24"/>
          <w:szCs w:val="24"/>
        </w:rPr>
      </w:pPr>
      <w:r>
        <w:rPr>
          <w:color w:val="00000A"/>
          <w:sz w:val="24"/>
          <w:szCs w:val="24"/>
        </w:rPr>
        <w:t>Projektowane rozporządzenie nie będzie miało wpływu na konkurencyjność gospodarki i przedsiębiorczość, w tym na działalność mikro</w:t>
        <w:noBreakHyphen/>
        <w:t>, małych i średnich przedsiębiorców, natomiast może przyczynić się w pewnym stopniu do poprawy sytuacji finansowej rodzin policjantów (oraz ewentualnie oddelegowanych do pełnienia służby, obowiązków lub wykonywania zadań w Policji funkcjonariuszy innych służb oraz żołnierzy zawodowych).</w:t>
      </w:r>
    </w:p>
    <w:p>
      <w:pPr>
        <w:pStyle w:val="Normal"/>
        <w:spacing w:lineRule="auto" w:line="276" w:before="0" w:after="40"/>
        <w:ind w:left="6" w:right="11" w:firstLine="720"/>
        <w:rPr>
          <w:color w:val="00000A"/>
          <w:sz w:val="24"/>
          <w:szCs w:val="24"/>
        </w:rPr>
      </w:pPr>
      <w:r>
        <w:rPr>
          <w:color w:val="00000A"/>
          <w:sz w:val="24"/>
          <w:szCs w:val="24"/>
        </w:rPr>
        <w:t>Projekt rozporządzenia, stosownie do wymogów art. 5 ustawy z dnia 7 lipca 2005 r. o działalności lobbingowej w procesie stanowienia prawa (Dz. U. z 2017 r. poz. 248) oraz zgodnie z § 52 ust. 1 uchwały nr 190 Rady Ministrów z dnia 29 października 2013 r. – Regulamin pracy Rady Ministrów (M.P. z 2022 r. poz. 348) został udostępniony w Biuletynie Informacji Publicznej na stronie podmiotowej Rządowego Centrum Legislacji, w serwisie Rządowy Proces Legislacyjny.</w:t>
      </w:r>
    </w:p>
    <w:p>
      <w:pPr>
        <w:pStyle w:val="Normal"/>
        <w:spacing w:lineRule="auto" w:line="276" w:before="0" w:after="40"/>
        <w:ind w:left="6" w:right="11" w:firstLine="720"/>
        <w:rPr/>
      </w:pPr>
      <w:r>
        <w:rPr>
          <w:color w:val="00000A"/>
          <w:sz w:val="24"/>
          <w:szCs w:val="24"/>
        </w:rPr>
        <w:t>Projekt nie podlegał dokonaniu oceny OSR przez koordynatora OSR w trybie § 32 uchwały nr 190 Rady Ministrów z dnia 29 października 2013 r. – Regulamin pracy Rady Ministrów.</w:t>
      </w:r>
    </w:p>
    <w:sectPr>
      <w:type w:val="nextPage"/>
      <w:pgSz w:w="12240" w:h="15840"/>
      <w:pgMar w:left="1304" w:right="1304" w:header="0" w:top="1134" w:footer="0" w:bottom="851"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swiss"/>
    <w:pitch w:val="default"/>
  </w:font>
  <w:font w:name="Segoe UI">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90" w:before="0" w:after="121"/>
      <w:ind w:left="24" w:firstLine="720"/>
      <w:jc w:val="both"/>
    </w:pPr>
    <w:rPr>
      <w:rFonts w:ascii="Times New Roman" w:hAnsi="Times New Roman" w:eastAsia="Times New Roman" w:cs="Times New Roman"/>
      <w:color w:val="000000"/>
      <w:kern w:val="0"/>
      <w:sz w:val="22"/>
      <w:szCs w:val="22"/>
      <w:lang w:eastAsia="ar-SA" w:val="pl-PL" w:bidi="ar-SA"/>
    </w:rPr>
  </w:style>
  <w:style w:type="character" w:styleId="DefaultParagraphFont" w:default="1">
    <w:name w:val="Default Paragraph Font"/>
    <w:uiPriority w:val="1"/>
    <w:semiHidden/>
    <w:unhideWhenUsed/>
    <w:qFormat/>
    <w:rPr/>
  </w:style>
  <w:style w:type="character" w:styleId="Domylnaczcionkaakapitu1" w:customStyle="1">
    <w:name w:val="Domyślna czcionka akapitu1"/>
    <w:qFormat/>
    <w:rPr/>
  </w:style>
  <w:style w:type="character" w:styleId="TekstdymkaZnak" w:customStyle="1">
    <w:name w:val="Tekst dymka Znak"/>
    <w:qFormat/>
    <w:rPr>
      <w:rFonts w:ascii="Segoe UI" w:hAnsi="Segoe UI" w:eastAsia="Times New Roman" w:cs="Segoe UI"/>
      <w:color w:val="000000"/>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Nagwek">
    <w:name w:val="Nagłówek"/>
    <w:basedOn w:val="Normal"/>
    <w:next w:val="Tretekstu"/>
    <w:qFormat/>
    <w:pPr>
      <w:keepNext w:val="true"/>
      <w:spacing w:before="240" w:after="120"/>
    </w:pPr>
    <w:rPr>
      <w:rFonts w:ascii="Arial" w:hAnsi="Arial"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ascii="Arial" w:hAnsi="Arial" w:cs="Mangal"/>
      <w:i/>
      <w:iCs/>
      <w:sz w:val="24"/>
      <w:szCs w:val="24"/>
    </w:rPr>
  </w:style>
  <w:style w:type="paragraph" w:styleId="Indeks" w:customStyle="1">
    <w:name w:val="Indeks"/>
    <w:basedOn w:val="Normal"/>
    <w:qFormat/>
    <w:pPr>
      <w:suppressLineNumbers/>
    </w:pPr>
    <w:rPr>
      <w:rFonts w:cs="Mangal"/>
    </w:rPr>
  </w:style>
  <w:style w:type="paragraph" w:styleId="Nagwek1" w:customStyle="1">
    <w:name w:val="Nagłówek1"/>
    <w:basedOn w:val="Normal"/>
    <w:qFormat/>
    <w:pPr>
      <w:keepNext w:val="true"/>
      <w:spacing w:before="240" w:after="120"/>
    </w:pPr>
    <w:rPr>
      <w:rFonts w:ascii="Arial" w:hAnsi="Arial" w:eastAsia="Microsoft YaHei" w:cs="Mangal"/>
      <w:sz w:val="28"/>
      <w:szCs w:val="28"/>
    </w:rPr>
  </w:style>
  <w:style w:type="paragraph" w:styleId="Podpis1" w:customStyle="1">
    <w:name w:val="Podpis1"/>
    <w:basedOn w:val="Normal"/>
    <w:qFormat/>
    <w:pPr>
      <w:suppressLineNumbers/>
      <w:spacing w:before="120" w:after="120"/>
    </w:pPr>
    <w:rPr>
      <w:rFonts w:cs="Mangal"/>
      <w:i/>
      <w:iCs/>
      <w:sz w:val="24"/>
      <w:szCs w:val="24"/>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1c05b7"/>
    <w:pPr>
      <w:spacing w:before="0" w:after="121"/>
      <w:ind w:left="720" w:firstLine="72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Application>LibreOffice/5.4.6.2$Windows_x86 LibreOffice_project/4014ce260a04f1026ba855d3b8d91541c224eab8</Application>
  <Pages>2</Pages>
  <Words>954</Words>
  <Characters>5781</Characters>
  <CharactersWithSpaces>6727</CharactersWithSpaces>
  <Paragraphs>17</Paragraphs>
  <Company>MSWiA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2023-01-17T08:56:00Z</dcterms:created>
  <dc:creator>Wiesław Żelaźnicki</dc:creator>
  <dc:description/>
  <dc:language>pl-PL</dc:language>
  <cp:lastModifiedBy>Izabela Karolina Król</cp:lastModifiedBy>
  <cp:lastPrinted>2020-10-09T12:48:00Z</cp:lastPrinted>
  <dcterms:modified xsi:type="dcterms:W3CDTF">2023-01-27T08:33:00Z</dcterms:modified>
  <cp:revision>11</cp:revision>
  <dc:subject/>
  <dc:title>Scanned Document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