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270" w:leader="none"/>
        </w:tabs>
        <w:spacing w:lineRule="auto" w:line="276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t>UZASADNIENIE</w:t>
      </w:r>
    </w:p>
    <w:p>
      <w:pPr>
        <w:pStyle w:val="Normal"/>
        <w:tabs>
          <w:tab w:val="left" w:pos="3270" w:leader="none"/>
        </w:tabs>
        <w:spacing w:lineRule="auto" w:line="276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Oznrodzaktutznustawalubrozporzdzenieiorganwydajcy"/>
        <w:spacing w:lineRule="auto" w:line="276" w:beforeAutospacing="0" w:before="0" w:afterAutospacing="0" w:after="120"/>
        <w:jc w:val="both"/>
        <w:rPr/>
      </w:pPr>
      <w:r>
        <w:rPr/>
        <w:t xml:space="preserve">Potrzeba zmiany </w:t>
      </w:r>
      <w:r>
        <w:rPr>
          <w:i/>
        </w:rPr>
        <w:t xml:space="preserve">rozporządzenia Ministra Spraw Wewnętrznych z dnia 29 maja 2014 r. </w:t>
        <w:br/>
        <w:t xml:space="preserve">w sprawie wzoru rocznego zestawienia zbiorczego przyczyn przebywania policjantów </w:t>
        <w:br/>
        <w:t>na zwolnieniach lekarskich</w:t>
      </w:r>
      <w:r>
        <w:rPr/>
        <w:t xml:space="preserve"> (Dz. U. z 2016 r. poz. 1064) wynika z wejścia w życie </w:t>
      </w:r>
      <w:r>
        <w:rPr>
          <w:rFonts w:eastAsia="Calibri" w:eastAsiaTheme="minorHAnsi"/>
          <w:i/>
          <w:lang w:eastAsia="en-US"/>
        </w:rPr>
        <w:t xml:space="preserve">ustawy </w:t>
        <w:br/>
        <w:t>z dnia 28 października 2020 r. o zmianie niektórych ustaw w związku z przeciwdziałaniem sytuacjom kryzysowym związanym z wystąpieniem COVID</w:t>
        <w:softHyphen/>
        <w:softHyphen/>
        <w:noBreakHyphen/>
        <w:t>19</w:t>
      </w:r>
      <w:r>
        <w:rPr>
          <w:rFonts w:eastAsia="Calibri" w:eastAsiaTheme="minorHAnsi"/>
          <w:lang w:eastAsia="en-US"/>
        </w:rPr>
        <w:t xml:space="preserve"> (Dz. U. poz. 2112, z późn. zm.), którą znowelizowano art. 121b </w:t>
      </w:r>
      <w:r>
        <w:rPr>
          <w:i/>
        </w:rPr>
        <w:t>ustawy z dnia 6 kwietnia 1990 r. o Policji</w:t>
      </w:r>
      <w:r>
        <w:rPr/>
        <w:t xml:space="preserve">, zwanej dalej „ustawą”,  rozszerzając katalog okoliczności uprawniających policjanta do otrzymania uposażenia w pełnej wysokości pomimo zwolnienia od zajęć służbowych. </w:t>
      </w:r>
    </w:p>
    <w:p>
      <w:pPr>
        <w:pStyle w:val="Oznrodzaktutznustawalubrozporzdzenieiorganwydajcy"/>
        <w:spacing w:lineRule="auto" w:line="276" w:beforeAutospacing="0" w:before="0" w:afterAutospacing="0" w:after="120"/>
        <w:jc w:val="both"/>
        <w:rPr/>
      </w:pPr>
      <w:r>
        <w:rPr>
          <w:rFonts w:eastAsia="Calibri" w:eastAsiaTheme="minorHAnsi"/>
          <w:lang w:eastAsia="en-US"/>
        </w:rPr>
        <w:t xml:space="preserve">Zgodnie z nowymi regulacjami zawartymi w art. 121b ust. 5 pkt 8 oraz ust. 6 pkt 4 ustawy, policjant zachowuje </w:t>
      </w:r>
      <w:r>
        <w:rPr/>
        <w:t xml:space="preserve">prawo do 100% uposażenia, </w:t>
      </w:r>
      <w:r>
        <w:rPr>
          <w:rFonts w:eastAsia="Calibri" w:eastAsiaTheme="minorHAnsi"/>
          <w:lang w:eastAsia="en-US"/>
        </w:rPr>
        <w:t>j</w:t>
      </w:r>
      <w:r>
        <w:rPr/>
        <w:t xml:space="preserve">eżeli zwolnienie lekarskie obejmuje okres, </w:t>
        <w:br/>
        <w:t xml:space="preserve">w którym policjant jest zwolniony od zajęć służbowych z powodu stwierdzenia zakażenia </w:t>
        <w:br/>
        <w:t xml:space="preserve">lub zachorowania na chorobę, o której mowa w przepisach o zapobieganiu oraz zwalczaniu zakażeń i chorób zakaźnych u ludzi, przy czym stwierdzone zakażenie lub zachorowanie powstało w związku z wykonywaniem zadań służbowych w okresie ogłoszenia stanu zagrożenia epidemicznego lub stanu epidemii z powodu tej choroby. Prawo do 100% uposażenia przysługuje również wtedy, gdy policjant został zwolniony od zajęć służbowych </w:t>
        <w:br/>
        <w:t xml:space="preserve">na skutek podlegania obowiązkowej kwarantannie, izolacji lub izolacji w warunkach domowych, o których mowa w przepisach o  zapobieganiu oraz zwalczaniu zakażeń i chorób zakaźnych u ludzi, jeżeli podleganie tej kwarantannie lub izolacji powstało w związku </w:t>
        <w:br/>
        <w:t xml:space="preserve">z wykonywaniem zadań służbowych w okresie ogłoszenia stanu zagrożenia epidemicznego </w:t>
        <w:br/>
        <w:t>lub stanu epidemii z powodu tej choroby.</w:t>
      </w:r>
    </w:p>
    <w:p>
      <w:pPr>
        <w:pStyle w:val="Oznrodzaktutznustawalubrozporzdzenieiorganwydajcy"/>
        <w:spacing w:lineRule="auto" w:line="276" w:beforeAutospacing="0" w:before="0" w:afterAutospacing="0" w:after="120"/>
        <w:jc w:val="both"/>
        <w:rPr/>
      </w:pPr>
      <w:r>
        <w:rPr/>
        <w:t>Wykonywanie zadań służbowych, o których mowa w art. 121b ust. 5 pkt 8 i ust. 6 pkt 4 ustawy, stwierdza pisemnie przełożony właściwy do spraw osobowych lub upoważniona przez niego osoba.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Zgodnie z art. 121i ustawy, Komendant Główny Policji sporządza roczne zestawienie zbiorcze przyczyn przebywania policjantów na zwolnieniach lekarskich, które przekazuje ministrowi właściwemu do spraw wewnętrznych w terminie do końca marca następnego roku. </w:t>
        <w:br/>
        <w:t>W zestawieniu tym wskazuje się łączny okres przebywania policjantów na zwolnieniach lekarskich, z uwzględnieniem podziału na przyczyny wskazane w art. 121b ust. 2, 5 i 6 ustawy, oraz średni okres przebywania policjanta na zwolnieniu lekarskim, w tym średnią roczną liczbę godzin niewykonywania obowiązków przez policjanta.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Mając na względzie powyższe, zaistniała konieczność dostosowania treści Tabeli nr 2 określonej w załączniku do </w:t>
      </w:r>
      <w:r>
        <w:rPr>
          <w:rFonts w:cs="Times New Roman" w:ascii="Times New Roman" w:hAnsi="Times New Roman"/>
          <w:i/>
          <w:sz w:val="24"/>
          <w:szCs w:val="24"/>
        </w:rPr>
        <w:t xml:space="preserve">rozporządzenia Ministra Spraw Wewnętrznych w sprawie wzoru rocznego </w:t>
      </w: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zestawienia zbiorczego przyczyn przebywania policjantów na zwolnieniach lekarskich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do treści art. 121b ust. 5 pkt 8 oraz ust. 6 pkt 4 ustawy.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W załączniku do rozporządzenia określającym wzór dokumentu „roczne zestawienie zbiorcze przyczyn przebywania policjantów na zwolnienia lekarskich w ….. roku”, w Tabeli nr 2, w rubryce zawierającej przyczyny przebywania policjantów na zwolnieniu lekarskim lub okoliczności ich przebywania na tym zwolnieniu dodano dwie nowe przyczyny wymienione w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art. 121b ust. 5 pkt 8 oraz ust. 6 pkt 4 ustawy.</w:t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Rozporządzenie wejdzie w życie z dniem następującym po dniu ogłoszenia. Jednocześnie </w:t>
        <w:br/>
        <w:t xml:space="preserve">w § 2 wskazano, że przedmiotowe rozwiązania będą stosowane z mocą od dnia 5 września 2020 r., zgodnie z datą wejścia w życie zmian art. 121b ustawy. Oznacza to, że roczne zbiorcze zestawienie przyczyn przebywania policjantów na zwolnieniach lekarskich w 2020 r. będzie zawierało wskazanie przyczyn określonych w nowelizowanym rozporządzeniu. </w:t>
      </w:r>
    </w:p>
    <w:p>
      <w:pPr>
        <w:pStyle w:val="Normal"/>
        <w:tabs>
          <w:tab w:val="left" w:pos="284" w:leader="none"/>
        </w:tabs>
        <w:spacing w:before="0"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Projekt rozporządzenia jest zgodny z prawem Unii Europejskiej.</w:t>
      </w:r>
    </w:p>
    <w:p>
      <w:pPr>
        <w:pStyle w:val="Normal"/>
        <w:tabs>
          <w:tab w:val="left" w:pos="709" w:leader="none"/>
        </w:tabs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Zakres przedmiotowej regulacji nie jest objęty prawem Unii Europejskiej i nie podlega obowiązkowi przedstawienia właściwym organom i instytucjom Unii Europejskiej.</w:t>
      </w:r>
    </w:p>
    <w:p>
      <w:pPr>
        <w:pStyle w:val="Normal"/>
        <w:tabs>
          <w:tab w:val="left" w:pos="284" w:leader="none"/>
          <w:tab w:val="left" w:pos="709" w:leader="none"/>
          <w:tab w:val="left" w:pos="1134" w:leader="none"/>
          <w:tab w:val="left" w:pos="1276" w:leader="none"/>
          <w:tab w:val="left" w:pos="1560" w:leader="none"/>
        </w:tabs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Nie ma możliwości podjęcia alternatywnych, w stosunku do projektowanego rozporządzenia, działań umożliwiających osiągnięcie zamierzonego celu.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Projekt nie wpływa na działalność mikro przedsiębiorców, małych i średnich przedsiębiorców oraz na rodzinę, osoby starsze i osoby niepełnosprawne.</w:t>
      </w:r>
      <w:bookmarkStart w:id="1" w:name="highlightHit_486"/>
      <w:bookmarkStart w:id="2" w:name="highlightHit_485"/>
      <w:bookmarkStart w:id="3" w:name="highlightHit_484"/>
      <w:bookmarkStart w:id="4" w:name="highlightHit_483"/>
      <w:bookmarkStart w:id="5" w:name="highlightHit_482"/>
      <w:bookmarkStart w:id="6" w:name="highlightHit_481"/>
      <w:bookmarkEnd w:id="1"/>
      <w:bookmarkEnd w:id="2"/>
      <w:bookmarkEnd w:id="3"/>
      <w:bookmarkEnd w:id="4"/>
      <w:bookmarkEnd w:id="5"/>
      <w:bookmarkEnd w:id="6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Projekt nie zawiera regulacji dotyczących majątkowych praw i obowiązków przedsiębiorców lub praw i obowiązków przedsiębiorców wobec organów administracji publicznej, a zatem nie podlega obowiązkowi dokonania oceny przewidywanego wpływu proponowanych rozwiązań na działalność mikro, małych i średnich przedsiębiorców, stosownie do przepisów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ustawy z dnia 6 marca 2018 r. – Prawo przedsiębiorców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(Dz. U. z 2021 r. poz. 162).</w:t>
      </w:r>
    </w:p>
    <w:p>
      <w:pPr>
        <w:pStyle w:val="Normal"/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Projekt nie podlega ocenie przez koordynatora OSR w trybie § 32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>uchwały nr 190 Rady Ministrów z dnia 29 października 2013 r. – Regulamin pracy Rady Ministrów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(M.P. z 2016 r. poz. 1006, z późn. zm.).</w:t>
      </w:r>
    </w:p>
    <w:p>
      <w:pPr>
        <w:pStyle w:val="Normal"/>
        <w:tabs>
          <w:tab w:val="left" w:pos="709" w:leader="none"/>
        </w:tabs>
        <w:spacing w:lineRule="auto" w:line="276" w:before="0" w:after="12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Projekt rozporządzenia nie zawiera przepisów technicznych w rozumieniu przepisów </w:t>
      </w:r>
      <w:r>
        <w:rPr>
          <w:rFonts w:eastAsia="Times New Roman" w:cs="Times New Roman" w:ascii="Times New Roman" w:hAnsi="Times New Roman"/>
          <w:i/>
          <w:sz w:val="24"/>
          <w:szCs w:val="24"/>
          <w:lang w:eastAsia="pl-PL"/>
        </w:rPr>
        <w:t xml:space="preserve">rozporządzenia Rady Ministrów z dnia 23 grudnia 2002 r. w sprawie sposobu funkcjonowania krajowego systemu notyfikacji norm i aktów prawnych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(Dz. U. poz. 2039 oraz z 2004 r. poz. 597) i w związku z tym nie podlega przedmiotowej notyfikacji.</w:t>
      </w:r>
    </w:p>
    <w:p>
      <w:pPr>
        <w:pStyle w:val="Normal"/>
        <w:widowControl w:val="false"/>
        <w:spacing w:lineRule="auto" w:line="276" w:before="0" w:after="120"/>
        <w:jc w:val="both"/>
        <w:rPr>
          <w:rFonts w:ascii="Times New Roman" w:hAnsi="Times New Roman" w:eastAsia="SimSun" w:cs="Times New Roman"/>
          <w:sz w:val="24"/>
          <w:szCs w:val="24"/>
          <w:lang w:eastAsia="pl-PL"/>
        </w:rPr>
      </w:pP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Projekt rozporządzenia został zamieszczony, stosownie do wymogów art. 5 </w:t>
      </w:r>
      <w:r>
        <w:rPr>
          <w:rFonts w:eastAsia="SimSun" w:cs="Times New Roman" w:ascii="Times New Roman" w:hAnsi="Times New Roman"/>
          <w:i/>
          <w:sz w:val="24"/>
          <w:szCs w:val="24"/>
          <w:lang w:eastAsia="zh-CN"/>
        </w:rPr>
        <w:t>ustawy z dnia 7 lipca 2005 r. o działalności lobbingowej w procesie stanowienia prawa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(Dz. U. z 2017 r. </w:t>
        <w:br/>
        <w:t xml:space="preserve">poz. 248) oraz zgodnie z § 52 ust. 1 </w:t>
      </w:r>
      <w:r>
        <w:rPr>
          <w:rFonts w:eastAsia="SimSun" w:cs="Times New Roman" w:ascii="Times New Roman" w:hAnsi="Times New Roman"/>
          <w:i/>
          <w:sz w:val="24"/>
          <w:szCs w:val="24"/>
          <w:lang w:eastAsia="zh-CN"/>
        </w:rPr>
        <w:t>uchwały Rady Ministrów z dnia 29 października 2013 r. – Regulamin pracy Rady Ministrów</w:t>
      </w:r>
      <w:r>
        <w:rPr>
          <w:rFonts w:eastAsia="SimSun" w:cs="Times New Roman" w:ascii="Times New Roman" w:hAnsi="Times New Roman"/>
          <w:sz w:val="24"/>
          <w:szCs w:val="24"/>
          <w:lang w:eastAsia="zh-CN"/>
        </w:rPr>
        <w:t xml:space="preserve"> w Biuletynie Informacji Publicznej Rządowego Centrum Legislacji. </w:t>
      </w:r>
    </w:p>
    <w:p>
      <w:pPr>
        <w:pStyle w:val="Normal"/>
        <w:spacing w:lineRule="auto" w:line="276" w:before="0" w:after="120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Wejście w życie projektowanego rozporządzenia nie spowoduje dodatkowych skutków finansowych w budżecie Policji.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Segoe UI">
    <w:charset w:val="01"/>
    <w:family w:val="swiss"/>
    <w:pitch w:val="default"/>
  </w:font>
  <w:font w:name="Arial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23f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4034f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4034f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24b94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Arial" w:hAnsi="Arial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Mangal"/>
    </w:rPr>
  </w:style>
  <w:style w:type="paragraph" w:styleId="Oznrodzaktutznustawalubrozporzdzenieiorganwydajcy" w:customStyle="1">
    <w:name w:val="oznrodzaktutznustawalubrozporzdzenieiorganwydajcy"/>
    <w:basedOn w:val="Normal"/>
    <w:qFormat/>
    <w:rsid w:val="00c523f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Gwka">
    <w:name w:val="Header"/>
    <w:basedOn w:val="Normal"/>
    <w:link w:val="NagwekZnak"/>
    <w:uiPriority w:val="99"/>
    <w:unhideWhenUsed/>
    <w:rsid w:val="004034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4034f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24b94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24b9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LibreOffice/5.4.6.2$Windows_x86 LibreOffice_project/4014ce260a04f1026ba855d3b8d91541c224eab8</Application>
  <Pages>2</Pages>
  <Words>791</Words>
  <Characters>4798</Characters>
  <CharactersWithSpaces>5592</CharactersWithSpaces>
  <Paragraphs>16</Paragraphs>
  <Company>MSWiA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2021-02-06T08:15:00Z</dcterms:created>
  <dc:creator>Wiącek Adam</dc:creator>
  <dc:description/>
  <dc:language>pl-PL</dc:language>
  <cp:lastModifiedBy>Użytkownik systemu Windows</cp:lastModifiedBy>
  <cp:lastPrinted>2021-01-25T14:14:00Z</cp:lastPrinted>
  <dcterms:modified xsi:type="dcterms:W3CDTF">2021-02-06T08:15:00Z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MSWiA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